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446" w:firstLineChars="400"/>
        <w:rPr>
          <w:rFonts w:cs="宋体" w:asciiTheme="minorEastAsia" w:hAnsiTheme="minorEastAsia" w:eastAsiaTheme="minorEastAsia"/>
          <w:color w:val="555555"/>
          <w:kern w:val="0"/>
          <w:sz w:val="36"/>
          <w:szCs w:val="36"/>
        </w:rPr>
      </w:pPr>
      <w:bookmarkStart w:id="0" w:name="_GoBack"/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36"/>
          <w:szCs w:val="36"/>
        </w:rPr>
        <w:t>四川省社会科学重点研究基地</w:t>
      </w:r>
      <w:r>
        <w:rPr>
          <w:rFonts w:hint="eastAsia" w:cs="宋体" w:asciiTheme="minorEastAsia" w:hAnsiTheme="minorEastAsia" w:eastAsiaTheme="minorEastAsia"/>
          <w:color w:val="555555"/>
          <w:kern w:val="0"/>
          <w:sz w:val="36"/>
          <w:szCs w:val="36"/>
        </w:rPr>
        <w:t> </w:t>
      </w:r>
      <w:r>
        <w:rPr>
          <w:rFonts w:cs="宋体" w:asciiTheme="minorEastAsia" w:hAnsiTheme="minorEastAsia" w:eastAsiaTheme="minorEastAsia"/>
          <w:color w:val="555555"/>
          <w:kern w:val="0"/>
          <w:sz w:val="36"/>
          <w:szCs w:val="36"/>
        </w:rPr>
        <w:t xml:space="preserve"> </w:t>
      </w:r>
    </w:p>
    <w:p>
      <w:pPr>
        <w:widowControl/>
        <w:spacing w:line="360" w:lineRule="auto"/>
        <w:jc w:val="left"/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36"/>
          <w:szCs w:val="36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36"/>
          <w:szCs w:val="36"/>
        </w:rPr>
        <w:t>四川县域经济发展研究中心2018年项目申报指南</w:t>
      </w:r>
    </w:p>
    <w:bookmarkEnd w:id="0"/>
    <w:p>
      <w:pPr>
        <w:widowControl/>
        <w:spacing w:line="360" w:lineRule="auto"/>
        <w:ind w:left="164" w:firstLine="843" w:firstLineChars="300"/>
        <w:jc w:val="left"/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cs="宋体"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555555"/>
          <w:kern w:val="0"/>
          <w:sz w:val="28"/>
          <w:szCs w:val="28"/>
        </w:rPr>
        <w:t>项目指南所列条目仅为申报者提供选题依据，申报者可以自拟题目。注*号为</w:t>
      </w:r>
      <w:r>
        <w:rPr>
          <w:rFonts w:hint="eastAsia" w:ascii="宋体" w:hAnsi="宋体" w:cs="宋体"/>
          <w:color w:val="555555"/>
          <w:kern w:val="0"/>
          <w:sz w:val="28"/>
          <w:szCs w:val="28"/>
          <w:lang w:eastAsia="zh-CN"/>
        </w:rPr>
        <w:t>重大</w:t>
      </w:r>
      <w:r>
        <w:rPr>
          <w:rFonts w:hint="eastAsia" w:ascii="宋体" w:hAnsi="宋体" w:eastAsia="宋体" w:cs="宋体"/>
          <w:color w:val="555555"/>
          <w:kern w:val="0"/>
          <w:sz w:val="28"/>
          <w:szCs w:val="28"/>
        </w:rPr>
        <w:t>课题</w:t>
      </w:r>
      <w:r>
        <w:rPr>
          <w:rFonts w:hint="eastAsia" w:ascii="宋体" w:hAnsi="宋体" w:cs="宋体"/>
          <w:color w:val="555555"/>
          <w:kern w:val="0"/>
          <w:sz w:val="28"/>
          <w:szCs w:val="28"/>
          <w:lang w:eastAsia="zh-CN"/>
        </w:rPr>
        <w:t>和重点课题</w:t>
      </w:r>
      <w:r>
        <w:rPr>
          <w:rFonts w:hint="eastAsia" w:ascii="宋体" w:hAnsi="宋体" w:eastAsia="宋体" w:cs="宋体"/>
          <w:color w:val="555555"/>
          <w:kern w:val="0"/>
          <w:sz w:val="28"/>
          <w:szCs w:val="28"/>
        </w:rPr>
        <w:t>。</w:t>
      </w:r>
    </w:p>
    <w:p>
      <w:pPr>
        <w:pStyle w:val="4"/>
        <w:widowControl/>
        <w:numPr>
          <w:ilvl w:val="0"/>
          <w:numId w:val="0"/>
        </w:numPr>
        <w:spacing w:line="360" w:lineRule="auto"/>
        <w:ind w:leftChars="0"/>
        <w:jc w:val="left"/>
        <w:rPr>
          <w:rFonts w:cs="宋体" w:asciiTheme="minorEastAsia" w:hAnsiTheme="minorEastAsia" w:eastAsiaTheme="minorEastAsia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555555"/>
          <w:kern w:val="0"/>
          <w:sz w:val="28"/>
          <w:szCs w:val="28"/>
        </w:rPr>
        <w:t>*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28"/>
          <w:szCs w:val="28"/>
          <w:lang w:val="en-US" w:eastAsia="zh-CN"/>
        </w:rPr>
        <w:t>1.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28"/>
          <w:szCs w:val="28"/>
        </w:rPr>
        <w:t>四川乡村振兴与县域经济发展</w:t>
      </w:r>
    </w:p>
    <w:p>
      <w:pPr>
        <w:widowControl/>
        <w:spacing w:line="360" w:lineRule="auto"/>
        <w:jc w:val="left"/>
        <w:rPr>
          <w:rFonts w:cs="宋体" w:asciiTheme="minorEastAsia" w:hAnsiTheme="minorEastAsia" w:eastAsiaTheme="minorEastAsia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555555"/>
          <w:kern w:val="0"/>
          <w:sz w:val="28"/>
          <w:szCs w:val="28"/>
        </w:rPr>
        <w:t>*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28"/>
          <w:szCs w:val="28"/>
          <w:lang w:val="en-US" w:eastAsia="zh-CN"/>
        </w:rPr>
        <w:t>2.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28"/>
          <w:szCs w:val="28"/>
        </w:rPr>
        <w:t>四川县域人口数量与结构变化对县域经济发展的影响与对策研究</w:t>
      </w:r>
    </w:p>
    <w:p>
      <w:pPr>
        <w:pStyle w:val="4"/>
        <w:widowControl/>
        <w:numPr>
          <w:ilvl w:val="0"/>
          <w:numId w:val="0"/>
        </w:numPr>
        <w:spacing w:line="360" w:lineRule="auto"/>
        <w:ind w:leftChars="0"/>
        <w:jc w:val="left"/>
        <w:rPr>
          <w:rFonts w:hint="eastAsia" w:cs="宋体" w:asciiTheme="minorEastAsia" w:hAnsiTheme="minorEastAsia" w:eastAsiaTheme="minorEastAsia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555555"/>
          <w:kern w:val="0"/>
          <w:sz w:val="28"/>
          <w:szCs w:val="28"/>
        </w:rPr>
        <w:t>*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28"/>
          <w:szCs w:val="28"/>
          <w:lang w:val="en-US" w:eastAsia="zh-CN"/>
        </w:rPr>
        <w:t>3.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28"/>
          <w:szCs w:val="28"/>
        </w:rPr>
        <w:t>四川深度贫困县脱贫机制研究</w:t>
      </w:r>
    </w:p>
    <w:p>
      <w:pPr>
        <w:pStyle w:val="4"/>
        <w:widowControl/>
        <w:numPr>
          <w:ilvl w:val="0"/>
          <w:numId w:val="0"/>
        </w:numPr>
        <w:spacing w:line="360" w:lineRule="auto"/>
        <w:ind w:leftChars="0"/>
        <w:jc w:val="left"/>
        <w:rPr>
          <w:rFonts w:hint="eastAsia" w:cs="宋体" w:asciiTheme="minorEastAsia" w:hAnsiTheme="minorEastAsia" w:eastAsiaTheme="minorEastAsia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555555"/>
          <w:kern w:val="0"/>
          <w:sz w:val="28"/>
          <w:szCs w:val="28"/>
        </w:rPr>
        <w:t>*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28"/>
          <w:szCs w:val="28"/>
          <w:lang w:val="en-US" w:eastAsia="zh-CN"/>
        </w:rPr>
        <w:t>4.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28"/>
          <w:szCs w:val="28"/>
        </w:rPr>
        <w:t>四川省县域承接城市产业转移问题研究</w:t>
      </w:r>
    </w:p>
    <w:p>
      <w:pPr>
        <w:spacing w:line="360" w:lineRule="auto"/>
        <w:rPr>
          <w:rFonts w:hint="eastAsia" w:cs="宋体" w:asciiTheme="minorEastAsia" w:hAnsiTheme="minorEastAsia" w:eastAsiaTheme="minorEastAsia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555555"/>
          <w:kern w:val="0"/>
          <w:sz w:val="28"/>
          <w:szCs w:val="28"/>
        </w:rPr>
        <w:t>*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28"/>
          <w:szCs w:val="28"/>
          <w:lang w:val="en-US" w:eastAsia="zh-CN"/>
        </w:rPr>
        <w:t>5.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 w:bidi="ar-SA"/>
        </w:rPr>
        <w:t>小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28"/>
          <w:szCs w:val="28"/>
          <w:lang w:val="en-US" w:eastAsia="zh-CN" w:bidi="ar-SA"/>
        </w:rPr>
        <w:t>城镇建设与县域城镇化研究</w:t>
      </w:r>
    </w:p>
    <w:p>
      <w:pPr>
        <w:pStyle w:val="4"/>
        <w:widowControl/>
        <w:numPr>
          <w:ilvl w:val="0"/>
          <w:numId w:val="0"/>
        </w:numPr>
        <w:spacing w:line="360" w:lineRule="auto"/>
        <w:ind w:leftChars="0"/>
        <w:jc w:val="left"/>
        <w:rPr>
          <w:rFonts w:hint="eastAsia" w:cs="宋体" w:asciiTheme="minorEastAsia" w:hAnsiTheme="minorEastAsia" w:eastAsiaTheme="minorEastAsia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555555"/>
          <w:kern w:val="0"/>
          <w:sz w:val="28"/>
          <w:szCs w:val="28"/>
        </w:rPr>
        <w:t>*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28"/>
          <w:szCs w:val="28"/>
          <w:lang w:val="en-US" w:eastAsia="zh-CN"/>
        </w:rPr>
        <w:t>6.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28"/>
          <w:szCs w:val="28"/>
        </w:rPr>
        <w:t>四川县域经济发展报告（2007-2017）</w:t>
      </w:r>
    </w:p>
    <w:p>
      <w:pPr>
        <w:pStyle w:val="4"/>
        <w:widowControl/>
        <w:numPr>
          <w:ilvl w:val="0"/>
          <w:numId w:val="0"/>
        </w:numPr>
        <w:spacing w:line="360" w:lineRule="auto"/>
        <w:ind w:leftChars="0"/>
        <w:jc w:val="left"/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7.四川县域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建立城乡融合发展体制机制问题研究</w:t>
      </w:r>
    </w:p>
    <w:p>
      <w:pPr>
        <w:pStyle w:val="4"/>
        <w:widowControl/>
        <w:numPr>
          <w:ilvl w:val="0"/>
          <w:numId w:val="0"/>
        </w:numPr>
        <w:spacing w:line="360" w:lineRule="auto"/>
        <w:ind w:leftChars="0"/>
        <w:jc w:val="left"/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8.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四川县域小农户和现代农业发展有机衔接机制研究</w:t>
      </w:r>
    </w:p>
    <w:p>
      <w:pPr>
        <w:pStyle w:val="4"/>
        <w:widowControl/>
        <w:numPr>
          <w:ilvl w:val="0"/>
          <w:numId w:val="0"/>
        </w:numPr>
        <w:spacing w:line="360" w:lineRule="auto"/>
        <w:ind w:leftChars="0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9.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四川县域农村一二三产业融合发展研究</w:t>
      </w:r>
    </w:p>
    <w:p>
      <w:pPr>
        <w:pStyle w:val="4"/>
        <w:widowControl/>
        <w:numPr>
          <w:ilvl w:val="0"/>
          <w:numId w:val="0"/>
        </w:numPr>
        <w:spacing w:line="360" w:lineRule="auto"/>
        <w:ind w:leftChars="0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10.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四川资源型地区县域经济转型发展研究</w:t>
      </w:r>
    </w:p>
    <w:p>
      <w:pPr>
        <w:pStyle w:val="4"/>
        <w:widowControl/>
        <w:numPr>
          <w:ilvl w:val="0"/>
          <w:numId w:val="0"/>
        </w:numPr>
        <w:spacing w:line="360" w:lineRule="auto"/>
        <w:ind w:leftChars="0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11.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四川县域发展中的新型乡村治理体系研究</w:t>
      </w:r>
    </w:p>
    <w:p>
      <w:pPr>
        <w:pStyle w:val="4"/>
        <w:widowControl/>
        <w:numPr>
          <w:ilvl w:val="0"/>
          <w:numId w:val="0"/>
        </w:numPr>
        <w:spacing w:line="360" w:lineRule="auto"/>
        <w:ind w:leftChars="0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12.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四川县域深化生态文明体制改革</w:t>
      </w:r>
    </w:p>
    <w:p>
      <w:pPr>
        <w:widowControl/>
        <w:spacing w:line="360" w:lineRule="auto"/>
        <w:jc w:val="left"/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1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3.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九寨沟地震灾后恢复重建模式研究</w:t>
      </w:r>
    </w:p>
    <w:p>
      <w:pPr>
        <w:widowControl/>
        <w:spacing w:line="360" w:lineRule="auto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1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4.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eastAsia="zh-CN"/>
        </w:rPr>
        <w:t>四川县域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城乡一体化战略和政策研究</w:t>
      </w:r>
    </w:p>
    <w:p>
      <w:pPr>
        <w:widowControl/>
        <w:spacing w:line="360" w:lineRule="auto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1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5.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四川县域提升经济发展质量变革重点和路径研究</w:t>
      </w:r>
    </w:p>
    <w:p>
      <w:pPr>
        <w:widowControl/>
        <w:spacing w:line="360" w:lineRule="auto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1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6.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eastAsia="zh-CN"/>
        </w:rPr>
        <w:t>四川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农村绿色发展的外溢效应评价方法与补偿政策研究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小标宋简体">
    <w:altName w:val="方正兰亭超细黑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A7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alice</cp:lastModifiedBy>
  <dcterms:modified xsi:type="dcterms:W3CDTF">2018-03-06T08:19:36Z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