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 w:val="48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 w:val="48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sz w:val="48"/>
          <w:szCs w:val="24"/>
        </w:rPr>
      </w:pPr>
    </w:p>
    <w:p>
      <w:pPr>
        <w:wordWrap w:val="0"/>
        <w:spacing w:line="400" w:lineRule="exact"/>
        <w:ind w:firstLine="960" w:firstLineChars="200"/>
        <w:jc w:val="right"/>
        <w:rPr>
          <w:rFonts w:hint="eastAsia" w:ascii="Times New Roman" w:hAnsi="Times New Roman" w:eastAsia="黑体" w:cs="Times New Roman"/>
          <w:bCs/>
          <w:spacing w:val="60"/>
          <w:kern w:val="10"/>
          <w:sz w:val="36"/>
          <w:szCs w:val="24"/>
        </w:rPr>
      </w:pPr>
      <w:r>
        <w:rPr>
          <w:rFonts w:hint="eastAsia" w:ascii="Times New Roman" w:hAnsi="Times New Roman" w:eastAsia="黑体" w:cs="Times New Roman"/>
          <w:bCs/>
          <w:spacing w:val="60"/>
          <w:kern w:val="10"/>
          <w:sz w:val="36"/>
          <w:szCs w:val="24"/>
        </w:rPr>
        <w:t xml:space="preserve">            </w:t>
      </w:r>
    </w:p>
    <w:p>
      <w:pPr>
        <w:jc w:val="center"/>
        <w:rPr>
          <w:rFonts w:hint="eastAsia" w:ascii="Times New Roman" w:hAnsi="Times New Roman" w:eastAsia="黑体" w:cs="Times New Roman"/>
          <w:bCs/>
          <w:spacing w:val="60"/>
          <w:kern w:val="10"/>
          <w:sz w:val="36"/>
          <w:szCs w:val="24"/>
        </w:rPr>
      </w:pPr>
      <w:r>
        <w:rPr>
          <w:rFonts w:hint="eastAsia" w:ascii="Times New Roman" w:hAnsi="Times New Roman" w:eastAsia="黑体" w:cs="Times New Roman"/>
          <w:bCs/>
          <w:spacing w:val="60"/>
          <w:kern w:val="10"/>
          <w:sz w:val="36"/>
          <w:szCs w:val="24"/>
        </w:rPr>
        <w:t>201</w:t>
      </w:r>
      <w:r>
        <w:rPr>
          <w:rFonts w:ascii="Times New Roman" w:hAnsi="Times New Roman" w:eastAsia="黑体" w:cs="Times New Roman"/>
          <w:bCs/>
          <w:spacing w:val="60"/>
          <w:kern w:val="10"/>
          <w:sz w:val="36"/>
          <w:szCs w:val="24"/>
        </w:rPr>
        <w:t>8</w:t>
      </w:r>
      <w:r>
        <w:rPr>
          <w:rFonts w:hint="eastAsia" w:ascii="Times New Roman" w:hAnsi="Times New Roman" w:eastAsia="黑体" w:cs="Times New Roman"/>
          <w:bCs/>
          <w:spacing w:val="60"/>
          <w:kern w:val="10"/>
          <w:sz w:val="36"/>
          <w:szCs w:val="24"/>
        </w:rPr>
        <w:t>年度成都市哲学社会科学规划项目</w:t>
      </w:r>
    </w:p>
    <w:p>
      <w:pPr>
        <w:jc w:val="center"/>
        <w:rPr>
          <w:rFonts w:hint="eastAsia" w:ascii="Times New Roman" w:hAnsi="Times New Roman" w:eastAsia="黑体" w:cs="Times New Roman"/>
          <w:bCs/>
          <w:spacing w:val="60"/>
          <w:kern w:val="10"/>
          <w:sz w:val="36"/>
          <w:szCs w:val="24"/>
        </w:rPr>
      </w:pPr>
    </w:p>
    <w:p>
      <w:pPr>
        <w:spacing w:line="400" w:lineRule="exact"/>
        <w:rPr>
          <w:rFonts w:hint="eastAsia" w:ascii="Times New Roman" w:hAnsi="Times New Roman" w:eastAsia="黑体" w:cs="Times New Roman"/>
          <w:bCs/>
          <w:spacing w:val="28"/>
          <w:kern w:val="10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宋体" w:cs="Times New Roman"/>
          <w:sz w:val="48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sz w:val="48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sz w:val="48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sz w:val="48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sz w:val="48"/>
          <w:szCs w:val="24"/>
        </w:rPr>
      </w:pPr>
    </w:p>
    <w:p>
      <w:pPr>
        <w:jc w:val="center"/>
        <w:rPr>
          <w:rFonts w:hint="eastAsia" w:ascii="黑体" w:hAnsi="Times New Roman" w:eastAsia="黑体" w:cs="Times New Roman"/>
          <w:bCs/>
          <w:spacing w:val="60"/>
          <w:sz w:val="72"/>
          <w:szCs w:val="24"/>
        </w:rPr>
      </w:pPr>
      <w:r>
        <w:rPr>
          <w:rFonts w:hint="eastAsia" w:ascii="黑体" w:hAnsi="Times New Roman" w:eastAsia="黑体" w:cs="Times New Roman"/>
          <w:bCs/>
          <w:spacing w:val="60"/>
          <w:sz w:val="72"/>
          <w:szCs w:val="24"/>
        </w:rPr>
        <w:t>课   题  指  南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sz w:val="48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sz w:val="48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sz w:val="48"/>
          <w:szCs w:val="24"/>
        </w:rPr>
      </w:pPr>
    </w:p>
    <w:p>
      <w:pPr>
        <w:jc w:val="center"/>
        <w:rPr>
          <w:rFonts w:hint="eastAsia" w:ascii="楷体_GB2312" w:hAnsi="Times New Roman" w:eastAsia="楷体_GB2312" w:cs="Times New Roman"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Cs/>
          <w:sz w:val="32"/>
          <w:szCs w:val="32"/>
        </w:rPr>
        <w:t>成都市哲学社会科学规划办公室</w:t>
      </w:r>
    </w:p>
    <w:p>
      <w:pPr>
        <w:jc w:val="center"/>
        <w:rPr>
          <w:rFonts w:hint="eastAsia" w:ascii="楷体_GB2312" w:hAnsi="Times New Roman" w:eastAsia="楷体_GB2312" w:cs="Times New Roman"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Cs/>
          <w:sz w:val="32"/>
          <w:szCs w:val="32"/>
        </w:rPr>
        <w:t>2017年</w:t>
      </w:r>
      <w:r>
        <w:rPr>
          <w:rFonts w:ascii="楷体_GB2312" w:hAnsi="Times New Roman" w:eastAsia="楷体_GB2312" w:cs="Times New Roman"/>
          <w:bCs/>
          <w:sz w:val="32"/>
          <w:szCs w:val="32"/>
        </w:rPr>
        <w:t>3</w:t>
      </w:r>
      <w:r>
        <w:rPr>
          <w:rFonts w:hint="eastAsia" w:ascii="楷体_GB2312" w:hAnsi="Times New Roman" w:eastAsia="楷体_GB2312" w:cs="Times New Roman"/>
          <w:bCs/>
          <w:sz w:val="32"/>
          <w:szCs w:val="32"/>
        </w:rPr>
        <w:t>月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 w:val="48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 w:val="48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sz w:val="48"/>
          <w:szCs w:val="24"/>
        </w:rPr>
      </w:pPr>
      <w:r>
        <w:rPr>
          <w:rFonts w:hint="eastAsia" w:ascii="Times New Roman" w:hAnsi="Times New Roman" w:eastAsia="宋体" w:cs="Times New Roman"/>
          <w:sz w:val="48"/>
          <w:szCs w:val="24"/>
        </w:rPr>
        <w:t>说    明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24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kern w:val="3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一、201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8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年度成都市哲学社会科学规划项目立项的指导思想是：以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习近平新时代中国特色社会主义思想为指引，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深入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学习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贯彻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党的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十九大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精神，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省委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十一届二次全会和市委十三届二次全会精神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，紧密围绕市委市政府中心工作，深入培育和践行社会主义核心价值观，为我市加快建设全面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体现新发展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理念的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城市贡献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社科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智库力量。</w:t>
      </w:r>
    </w:p>
    <w:p>
      <w:pPr>
        <w:spacing w:line="540" w:lineRule="exact"/>
        <w:ind w:firstLine="640" w:firstLineChars="200"/>
        <w:rPr>
          <w:rFonts w:ascii="仿宋_GB2312" w:hAnsi="宋体" w:eastAsia="仿宋_GB2312" w:cs="Times New Roman"/>
          <w:kern w:val="3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二、本年度社科规划项目分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为重点项目、一般项目、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联合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发布项目三类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ascii="仿宋_GB2312" w:hAnsi="宋体" w:eastAsia="仿宋_GB2312" w:cs="Times New Roman"/>
          <w:b/>
          <w:kern w:val="30"/>
          <w:sz w:val="32"/>
          <w:szCs w:val="32"/>
        </w:rPr>
      </w:pP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1.重点项目立项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约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20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项，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每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项资助经费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约5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万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元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，最终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成果形式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为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研究报告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，完成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时限为2018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年12月底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前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，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结项要求为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一篇C刊或应用转化以及专家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评审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ascii="仿宋_GB2312" w:hAnsi="宋体" w:eastAsia="仿宋_GB2312" w:cs="Times New Roman"/>
          <w:b/>
          <w:kern w:val="30"/>
          <w:sz w:val="32"/>
          <w:szCs w:val="32"/>
        </w:rPr>
      </w:pP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2.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一般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项目立项约1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0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项（资助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经费项目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约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  <w:lang w:val="en-US" w:eastAsia="zh-CN"/>
        </w:rPr>
        <w:t>90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项、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自筹经费项目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约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  <w:lang w:val="en-US" w:eastAsia="zh-CN"/>
        </w:rPr>
        <w:t>60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项），最终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成果形式为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专著、科普读物、论文、研究报告，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专著和科普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读物每项资助经费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约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2万元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，完成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时限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为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201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9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年6月，论文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、研究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报告每项资助经费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约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1.5万元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，完成时限为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2018年12月底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前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，结项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要求均为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在省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级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出版社（公开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刊物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）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出版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（发表）或应用转化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3.联合发布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项目立项约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10项，由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成都市社科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规划办与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成都大学天府文化研究院共同发布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，最终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成果形式为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论文、研究报告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，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每项资助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经费为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4万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元，完成时</w:t>
      </w:r>
      <w:bookmarkStart w:id="0" w:name="_GoBack"/>
      <w:bookmarkEnd w:id="0"/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限为</w:t>
      </w:r>
      <w:r>
        <w:rPr>
          <w:rFonts w:hint="eastAsia" w:ascii="仿宋_GB2312" w:hAnsi="宋体" w:eastAsia="仿宋_GB2312" w:cs="Times New Roman"/>
          <w:b/>
          <w:kern w:val="30"/>
          <w:sz w:val="32"/>
          <w:szCs w:val="32"/>
        </w:rPr>
        <w:t>2018年12月底前</w:t>
      </w:r>
      <w:r>
        <w:rPr>
          <w:rFonts w:ascii="仿宋_GB2312" w:hAnsi="宋体" w:eastAsia="仿宋_GB2312" w:cs="Times New Roman"/>
          <w:b/>
          <w:kern w:val="30"/>
          <w:sz w:val="32"/>
          <w:szCs w:val="32"/>
        </w:rPr>
        <w:t>，结项要求为专家评审。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kern w:val="3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三、本年度重点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项目可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在指南范围自拟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题目；一般项目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自拟题目的资助项目不超过总申报数的20%。申报项目应力求具有原创性、开拓性、现实性，避免低水平重复研究。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kern w:val="3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四、申报程序：凡在成都地区的高校、党校、科研院（所）和市属各学会(协会、研究会)、区（市）县社科联、党政机关、实际工作部门、军队的理论工作者或单位，均可申报。个人申报者所在单位，要对申报人能否胜任该项目研究工作在申报表上签署明确意见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kern w:val="3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五、结项通知和要求将另行发送。立项的项目最终成果出版.发表或向有关单位报送时，都必须在醒目位置注明“成都市哲学社会科学规划项目 项目编号xxx”字样。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kern w:val="3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六、以往年度成都市哲学社会科学规划项目未结项的申报者不得申报。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kern w:val="3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kern w:val="30"/>
          <w:sz w:val="32"/>
          <w:szCs w:val="32"/>
        </w:rPr>
      </w:pPr>
    </w:p>
    <w:p>
      <w:pPr>
        <w:spacing w:line="540" w:lineRule="exact"/>
        <w:ind w:right="300" w:firstLine="1120" w:firstLineChars="350"/>
        <w:jc w:val="right"/>
        <w:rPr>
          <w:rFonts w:hint="eastAsia" w:ascii="仿宋_GB2312" w:hAnsi="宋体" w:eastAsia="仿宋_GB2312" w:cs="Times New Roman"/>
          <w:kern w:val="30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成都市哲学社会科学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规划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办公室                                  201</w:t>
      </w:r>
      <w:r>
        <w:rPr>
          <w:rFonts w:hint="eastAsia" w:ascii="仿宋_GB2312" w:hAnsi="宋体" w:eastAsia="仿宋_GB2312" w:cs="Times New Roman"/>
          <w:kern w:val="3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年</w:t>
      </w:r>
      <w:r>
        <w:rPr>
          <w:rFonts w:ascii="仿宋_GB2312" w:hAnsi="宋体" w:eastAsia="仿宋_GB2312" w:cs="Times New Roman"/>
          <w:kern w:val="30"/>
          <w:sz w:val="32"/>
          <w:szCs w:val="32"/>
        </w:rPr>
        <w:t>3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kern w:val="3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Times New Roman"/>
          <w:kern w:val="30"/>
          <w:sz w:val="32"/>
          <w:szCs w:val="32"/>
        </w:rPr>
        <w:t xml:space="preserve">日 </w:t>
      </w:r>
    </w:p>
    <w:p>
      <w:pPr>
        <w:ind w:firstLine="437"/>
        <w:jc w:val="right"/>
        <w:rPr>
          <w:rFonts w:hint="eastAsia" w:ascii="Times New Roman" w:hAnsi="Times New Roman" w:eastAsia="宋体" w:cs="Times New Roman"/>
          <w:sz w:val="28"/>
          <w:szCs w:val="24"/>
        </w:rPr>
      </w:pPr>
    </w:p>
    <w:p>
      <w:pPr>
        <w:jc w:val="center"/>
        <w:rPr>
          <w:rFonts w:hint="eastAsia" w:ascii="黑体" w:hAnsi="Times New Roman" w:eastAsia="黑体" w:cs="Times New Roman"/>
          <w:sz w:val="44"/>
          <w:szCs w:val="44"/>
        </w:rPr>
      </w:pPr>
    </w:p>
    <w:p>
      <w:pPr>
        <w:spacing w:line="700" w:lineRule="exact"/>
        <w:jc w:val="center"/>
        <w:rPr>
          <w:rFonts w:ascii="黑体" w:hAnsi="Calibri" w:eastAsia="黑体" w:cs="Times New Roman"/>
          <w:sz w:val="44"/>
          <w:szCs w:val="44"/>
        </w:rPr>
      </w:pPr>
    </w:p>
    <w:p>
      <w:pPr>
        <w:spacing w:line="700" w:lineRule="exact"/>
        <w:jc w:val="center"/>
        <w:rPr>
          <w:rFonts w:ascii="黑体" w:hAnsi="Calibri" w:eastAsia="黑体" w:cs="Times New Roman"/>
          <w:sz w:val="44"/>
          <w:szCs w:val="44"/>
        </w:rPr>
      </w:pPr>
    </w:p>
    <w:p>
      <w:pPr>
        <w:spacing w:line="700" w:lineRule="exact"/>
        <w:jc w:val="center"/>
        <w:rPr>
          <w:rFonts w:ascii="黑体" w:hAnsi="Calibri" w:eastAsia="黑体" w:cs="Times New Roman"/>
          <w:sz w:val="44"/>
          <w:szCs w:val="44"/>
        </w:rPr>
      </w:pPr>
    </w:p>
    <w:p>
      <w:pPr>
        <w:spacing w:line="700" w:lineRule="exact"/>
        <w:jc w:val="center"/>
        <w:rPr>
          <w:rFonts w:ascii="黑体" w:hAnsi="Calibri" w:eastAsia="黑体" w:cs="Times New Roman"/>
          <w:sz w:val="44"/>
          <w:szCs w:val="44"/>
        </w:rPr>
      </w:pPr>
    </w:p>
    <w:p>
      <w:pPr>
        <w:spacing w:line="700" w:lineRule="exact"/>
        <w:jc w:val="center"/>
        <w:rPr>
          <w:rFonts w:ascii="黑体" w:hAnsi="Calibri" w:eastAsia="黑体" w:cs="Times New Roman"/>
          <w:sz w:val="44"/>
          <w:szCs w:val="44"/>
        </w:rPr>
      </w:pPr>
    </w:p>
    <w:p>
      <w:pPr>
        <w:spacing w:line="700" w:lineRule="exact"/>
        <w:jc w:val="center"/>
        <w:rPr>
          <w:rFonts w:ascii="黑体" w:hAnsi="Calibri" w:eastAsia="黑体" w:cs="Times New Roman"/>
          <w:sz w:val="44"/>
          <w:szCs w:val="44"/>
        </w:rPr>
      </w:pPr>
    </w:p>
    <w:p>
      <w:pPr>
        <w:spacing w:line="700" w:lineRule="exact"/>
        <w:jc w:val="center"/>
        <w:rPr>
          <w:rFonts w:ascii="黑体" w:hAnsi="Calibri" w:eastAsia="黑体" w:cs="Times New Roman"/>
          <w:sz w:val="44"/>
          <w:szCs w:val="44"/>
        </w:rPr>
      </w:pPr>
      <w:r>
        <w:rPr>
          <w:rFonts w:hint="eastAsia" w:ascii="黑体" w:hAnsi="Calibri" w:eastAsia="黑体" w:cs="Times New Roman"/>
          <w:sz w:val="44"/>
          <w:szCs w:val="44"/>
        </w:rPr>
        <w:t>项目研究指南</w:t>
      </w:r>
    </w:p>
    <w:p>
      <w:pPr>
        <w:spacing w:line="70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>
      <w:pPr>
        <w:spacing w:line="700" w:lineRule="exact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一</w:t>
      </w:r>
      <w:r>
        <w:rPr>
          <w:rFonts w:ascii="黑体" w:hAnsi="黑体" w:eastAsia="黑体" w:cs="黑体"/>
          <w:sz w:val="36"/>
          <w:szCs w:val="36"/>
        </w:rPr>
        <w:t>、重点</w:t>
      </w:r>
      <w:r>
        <w:rPr>
          <w:rFonts w:hint="eastAsia" w:ascii="黑体" w:hAnsi="黑体" w:eastAsia="黑体" w:cs="黑体"/>
          <w:sz w:val="36"/>
          <w:szCs w:val="36"/>
        </w:rPr>
        <w:t>项目</w:t>
      </w:r>
      <w:r>
        <w:rPr>
          <w:rFonts w:ascii="黑体" w:hAnsi="黑体" w:eastAsia="黑体" w:cs="黑体"/>
          <w:sz w:val="36"/>
          <w:szCs w:val="36"/>
        </w:rPr>
        <w:t>指南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</w:t>
      </w:r>
      <w:r>
        <w:rPr>
          <w:rFonts w:ascii="仿宋" w:hAnsi="仿宋" w:eastAsia="仿宋" w:cs="仿宋"/>
          <w:sz w:val="32"/>
          <w:szCs w:val="32"/>
        </w:rPr>
        <w:t>改革开放四十年理论与实践研究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新时代</w:t>
      </w:r>
      <w:r>
        <w:rPr>
          <w:rFonts w:ascii="仿宋" w:hAnsi="仿宋" w:eastAsia="仿宋" w:cs="仿宋"/>
          <w:sz w:val="32"/>
          <w:szCs w:val="32"/>
        </w:rPr>
        <w:t>成都</w:t>
      </w:r>
      <w:r>
        <w:rPr>
          <w:rFonts w:hint="eastAsia" w:ascii="仿宋" w:hAnsi="仿宋" w:eastAsia="仿宋" w:cs="仿宋"/>
          <w:sz w:val="32"/>
          <w:szCs w:val="32"/>
        </w:rPr>
        <w:t>发展</w:t>
      </w:r>
      <w:r>
        <w:rPr>
          <w:rFonts w:ascii="仿宋" w:hAnsi="仿宋" w:eastAsia="仿宋" w:cs="仿宋"/>
          <w:sz w:val="32"/>
          <w:szCs w:val="32"/>
        </w:rPr>
        <w:t>不平衡不充分问题研究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成都建设可持续发展世界城市</w:t>
      </w:r>
      <w:r>
        <w:rPr>
          <w:rFonts w:ascii="仿宋" w:hAnsi="仿宋" w:eastAsia="仿宋" w:cs="仿宋"/>
          <w:sz w:val="32"/>
          <w:szCs w:val="32"/>
        </w:rPr>
        <w:t>比较研究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城市精明增长理论与成都实践研究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成都实现经济高质量发展研究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成都发展新经济培育新动能的理论与实践研究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成都加快发展现代化新经济研究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成都国际门户枢纽城市建设的战略研究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成都深入实施乡村振兴战略推动城乡融合的理论与实践研究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成都实施高标准精准扶贫研究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成都自由贸易试验区创新发展研究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超大中心城市治理与风险管控理论</w:t>
      </w:r>
      <w:r>
        <w:rPr>
          <w:rFonts w:ascii="仿宋" w:hAnsi="仿宋" w:eastAsia="仿宋" w:cs="仿宋"/>
          <w:sz w:val="32"/>
          <w:szCs w:val="32"/>
        </w:rPr>
        <w:t>与实践</w:t>
      </w:r>
      <w:r>
        <w:rPr>
          <w:rFonts w:hint="eastAsia" w:ascii="仿宋" w:hAnsi="仿宋" w:eastAsia="仿宋" w:cs="仿宋"/>
          <w:sz w:val="32"/>
          <w:szCs w:val="32"/>
        </w:rPr>
        <w:t>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</w:t>
      </w:r>
      <w:r>
        <w:rPr>
          <w:rFonts w:ascii="仿宋" w:hAnsi="仿宋" w:eastAsia="仿宋" w:cs="仿宋"/>
          <w:sz w:val="32"/>
          <w:szCs w:val="32"/>
        </w:rPr>
        <w:t>主</w:t>
      </w:r>
      <w:r>
        <w:rPr>
          <w:rFonts w:hint="eastAsia" w:ascii="仿宋" w:hAnsi="仿宋" w:eastAsia="仿宋" w:cs="仿宋"/>
          <w:sz w:val="32"/>
          <w:szCs w:val="32"/>
        </w:rPr>
        <w:t>体</w:t>
      </w:r>
      <w:r>
        <w:rPr>
          <w:rFonts w:ascii="仿宋" w:hAnsi="仿宋" w:eastAsia="仿宋" w:cs="仿宋"/>
          <w:sz w:val="32"/>
          <w:szCs w:val="32"/>
        </w:rPr>
        <w:t>功能区建设发展研究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成都加快建设美丽宜居</w:t>
      </w:r>
      <w:r>
        <w:rPr>
          <w:rFonts w:ascii="仿宋" w:hAnsi="仿宋" w:eastAsia="仿宋" w:cs="仿宋"/>
          <w:sz w:val="32"/>
          <w:szCs w:val="32"/>
        </w:rPr>
        <w:t>公园</w:t>
      </w:r>
      <w:r>
        <w:rPr>
          <w:rFonts w:hint="eastAsia" w:ascii="仿宋" w:hAnsi="仿宋" w:eastAsia="仿宋" w:cs="仿宋"/>
          <w:sz w:val="32"/>
          <w:szCs w:val="32"/>
        </w:rPr>
        <w:t>城市研究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成都人口</w:t>
      </w:r>
      <w:r>
        <w:rPr>
          <w:rFonts w:ascii="仿宋" w:hAnsi="仿宋" w:eastAsia="仿宋" w:cs="仿宋"/>
          <w:sz w:val="32"/>
          <w:szCs w:val="32"/>
        </w:rPr>
        <w:t>发展战略研究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法治成都、法治政府与法治社会一体建设研究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国家治理现代化背景下成都推进社区发展治理的理论与实践研究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成都传承</w:t>
      </w:r>
      <w:r>
        <w:rPr>
          <w:rFonts w:ascii="仿宋" w:hAnsi="仿宋" w:eastAsia="仿宋" w:cs="仿宋"/>
          <w:sz w:val="32"/>
          <w:szCs w:val="32"/>
        </w:rPr>
        <w:t>巴蜀文明发展</w:t>
      </w:r>
      <w:r>
        <w:rPr>
          <w:rFonts w:hint="eastAsia" w:ascii="仿宋" w:hAnsi="仿宋" w:eastAsia="仿宋" w:cs="仿宋"/>
          <w:sz w:val="32"/>
          <w:szCs w:val="32"/>
        </w:rPr>
        <w:t>天府</w:t>
      </w:r>
      <w:r>
        <w:rPr>
          <w:rFonts w:ascii="仿宋" w:hAnsi="仿宋" w:eastAsia="仿宋" w:cs="仿宋"/>
          <w:sz w:val="32"/>
          <w:szCs w:val="32"/>
        </w:rPr>
        <w:t>文化，建设世界文化名城研究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成都将社会主义核心价值观融入社会发展各方面研究</w:t>
      </w:r>
    </w:p>
    <w:p>
      <w:pPr>
        <w:numPr>
          <w:ilvl w:val="0"/>
          <w:numId w:val="1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新时代加强和改进党的领导，提升治蓉兴蓉能力水平 研究</w:t>
      </w:r>
    </w:p>
    <w:p>
      <w:pPr>
        <w:spacing w:line="700" w:lineRule="exact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</w:t>
      </w:r>
      <w:r>
        <w:rPr>
          <w:rFonts w:ascii="黑体" w:hAnsi="黑体" w:eastAsia="黑体" w:cs="黑体"/>
          <w:sz w:val="36"/>
          <w:szCs w:val="36"/>
        </w:rPr>
        <w:t>、一般项目指南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“一带一路”背景下的成渝产业协同发展机制研究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成都大力实施天府国际机场和国际空港新城建设研究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成都弘扬劳模精神和工匠精神研究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成都高水平创新团队培育研究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推动我市创新产业链融合发展研究`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新时代精准扶贫进程中农村公共服务研究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成都市西部金融中心建设中的系统性金融风险预警和防控研究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新形势下成都市入境旅游发展研究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基于“厕所革命”的成都景区旅游体验策略研究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“互联网”+精准扶贫视野下成都市“农村电商+供销社”体系创新模式研究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全球视野下成都流量经济层次策略研究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提高流量经济层次推动成都高质量发展对策研究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加快构建成都现代产业体系的财税政策研究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成都新经济发展中的安全风险管控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成都市实体零售业转型升级研究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成都市网络汽车租赁业发展现状及对策研究</w:t>
      </w:r>
    </w:p>
    <w:p>
      <w:pPr>
        <w:numPr>
          <w:ilvl w:val="0"/>
          <w:numId w:val="2"/>
        </w:numPr>
        <w:tabs>
          <w:tab w:val="left" w:pos="312"/>
        </w:tabs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网络意识形态新情况及基层政府应对策略研究</w:t>
      </w:r>
    </w:p>
    <w:p>
      <w:pPr>
        <w:numPr>
          <w:ilvl w:val="0"/>
          <w:numId w:val="2"/>
        </w:numPr>
        <w:tabs>
          <w:tab w:val="left" w:pos="312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大城市中心城区康养产业生态圈建设的思考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“健康成都”建设的成都实践研究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成都共享经济的发展创新研究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四川自贸区现代服务业融入“一带一路”发展研究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乡村振兴战略下旅游精准扶贫对策研究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成都市战略性新兴产业创新生态系统创新发展研究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乡村振兴战略背景下成都市农村宅基地“三权分置”改革研究</w:t>
      </w:r>
    </w:p>
    <w:p>
      <w:pPr>
        <w:numPr>
          <w:ilvl w:val="0"/>
          <w:numId w:val="2"/>
        </w:numPr>
        <w:tabs>
          <w:tab w:val="left" w:pos="312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成都地名文化遗产保护名录制度建设研究</w:t>
      </w:r>
    </w:p>
    <w:p>
      <w:pPr>
        <w:numPr>
          <w:ilvl w:val="0"/>
          <w:numId w:val="2"/>
        </w:numPr>
        <w:tabs>
          <w:tab w:val="left" w:pos="312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川西平原农耕文化符号在当代乡村文创产业中的应用研究</w:t>
      </w:r>
    </w:p>
    <w:p>
      <w:pPr>
        <w:numPr>
          <w:ilvl w:val="0"/>
          <w:numId w:val="2"/>
        </w:numPr>
        <w:tabs>
          <w:tab w:val="left" w:pos="312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立足“一带一路”成都对外文化贸易发展研究</w:t>
      </w:r>
    </w:p>
    <w:p>
      <w:pPr>
        <w:numPr>
          <w:ilvl w:val="0"/>
          <w:numId w:val="2"/>
        </w:numPr>
        <w:tabs>
          <w:tab w:val="left" w:pos="312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中国传统文化中的核心价值观研究</w:t>
      </w:r>
    </w:p>
    <w:p>
      <w:pPr>
        <w:numPr>
          <w:ilvl w:val="0"/>
          <w:numId w:val="2"/>
        </w:numPr>
        <w:tabs>
          <w:tab w:val="left" w:pos="312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成都传统漆工艺材料创新和应用研究</w:t>
      </w:r>
    </w:p>
    <w:p>
      <w:pPr>
        <w:numPr>
          <w:ilvl w:val="0"/>
          <w:numId w:val="2"/>
        </w:numPr>
        <w:tabs>
          <w:tab w:val="left" w:pos="312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“互联网+”老成都传统民俗文化对外传播研究</w:t>
      </w:r>
    </w:p>
    <w:p>
      <w:pPr>
        <w:numPr>
          <w:ilvl w:val="0"/>
          <w:numId w:val="2"/>
        </w:numPr>
        <w:tabs>
          <w:tab w:val="left" w:pos="312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基于成都市茶馆文化影像记录的研究</w:t>
      </w:r>
    </w:p>
    <w:p>
      <w:pPr>
        <w:numPr>
          <w:ilvl w:val="0"/>
          <w:numId w:val="2"/>
        </w:numPr>
        <w:tabs>
          <w:tab w:val="left" w:pos="312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“非物质文化遗产”校园传承研究</w:t>
      </w:r>
    </w:p>
    <w:p>
      <w:pPr>
        <w:numPr>
          <w:ilvl w:val="0"/>
          <w:numId w:val="2"/>
        </w:numPr>
        <w:tabs>
          <w:tab w:val="left" w:pos="312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成都平原经济区年鉴</w:t>
      </w:r>
    </w:p>
    <w:p>
      <w:pPr>
        <w:numPr>
          <w:ilvl w:val="0"/>
          <w:numId w:val="2"/>
        </w:numPr>
        <w:tabs>
          <w:tab w:val="left" w:pos="312"/>
        </w:tabs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成都工匠文化的资源挖掘与传承研究</w:t>
      </w:r>
    </w:p>
    <w:p>
      <w:pPr>
        <w:numPr>
          <w:ilvl w:val="0"/>
          <w:numId w:val="2"/>
        </w:numPr>
        <w:tabs>
          <w:tab w:val="left" w:pos="312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“文化+民宿”产业助力成都乡村振兴</w:t>
      </w:r>
      <w:r>
        <w:rPr>
          <w:rFonts w:ascii="仿宋" w:hAnsi="仿宋" w:eastAsia="仿宋" w:cs="仿宋"/>
          <w:sz w:val="32"/>
          <w:szCs w:val="32"/>
        </w:rPr>
        <w:t>研究</w:t>
      </w:r>
    </w:p>
    <w:p>
      <w:pPr>
        <w:numPr>
          <w:ilvl w:val="0"/>
          <w:numId w:val="2"/>
        </w:numPr>
        <w:tabs>
          <w:tab w:val="left" w:pos="312"/>
        </w:tabs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依托双一流高校建设提升城市能级的策略研究</w:t>
      </w:r>
    </w:p>
    <w:p>
      <w:pPr>
        <w:numPr>
          <w:ilvl w:val="0"/>
          <w:numId w:val="2"/>
        </w:numPr>
        <w:tabs>
          <w:tab w:val="left" w:pos="312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成都工业文明精神的源流、内涵和传承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新时代成都社会治理重心下移的创新路径研究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成都社区治理与社区营造研究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成都持续实施“三治一增”，提升绿色发展竞争力研究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供需视角下成都农村公共文化供给现状评估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人民调解组织、人民调解员等级化管理机制及其实践探索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新时代劳动关系多元共治模式研究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构建普惠型公共法律服务平台研究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成都市特色农业保险的开发与探索研究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“互联网+”背景下社区治理与社区教育互动机制研究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区块链技术对社会组织结构的潜在挑战及影响研究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“多元共治”社区治理理念下的家校共育模式探究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新时代成都区域特色小镇研究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成都主体功能区安全发展研究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青少年对社会主义核心价值观认知度研究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跨境电商法律风险防控研究——以四川自贸区天府新区片区为视角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区块链技术与社会信任心理关系的研究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职业教育产教融合研究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新技术驱动基础教育改革的研究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新时代背景下中小学校长负责制的改革深化与发展研究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基于区块链的食药品安全监管系统研究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新媒体技术对成都媒介发展的影响研究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成都市中心商业区中“智能体验式景观”的探索与实施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成都校地协同创新的路径与对策研究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成都加快推进塑造‘三城三都’城市品牌研究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成都加快建设多主体供给、多渠道保障、租购并举的住房保障制度研究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成都放管服改革中的标准、边界与尺度问题研究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完善成都多层次社会保障体系研究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加强政府购买农村公益性服务机制建设研究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成都深化医养结合加快老龄事业和产业发展研究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成都优化政府向社会力量购买公共服务体制机制研究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成都深化事业单位改革强化公益属性研究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成都推进文商旅体融合发展模式研究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成都推进国际传播能力建设研究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贯彻新时代党的建设要求推进全面从严治党研究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成都构建亲清新型政商关系研究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新使命下成都干部激励与约束机制建设研究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成都基层党组织建设研究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成都提升“不忘初心 牢记使命”主题教育活动效能研究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地方新型智库建设研究</w:t>
      </w:r>
    </w:p>
    <w:p>
      <w:pPr>
        <w:numPr>
          <w:ilvl w:val="0"/>
          <w:numId w:val="2"/>
        </w:numPr>
        <w:spacing w:line="59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成都加快构建中国特色哲学社会科学研究</w:t>
      </w:r>
    </w:p>
    <w:p>
      <w:pPr>
        <w:spacing w:line="700" w:lineRule="exact"/>
        <w:jc w:val="left"/>
        <w:rPr>
          <w:rFonts w:ascii="黑体" w:hAnsi="黑体" w:eastAsia="黑体" w:cs="黑体"/>
          <w:sz w:val="36"/>
          <w:szCs w:val="36"/>
        </w:rPr>
      </w:pPr>
    </w:p>
    <w:p>
      <w:pPr>
        <w:spacing w:line="700" w:lineRule="exact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三</w:t>
      </w:r>
      <w:r>
        <w:rPr>
          <w:rFonts w:ascii="黑体" w:hAnsi="黑体" w:eastAsia="黑体" w:cs="黑体"/>
          <w:sz w:val="36"/>
          <w:szCs w:val="36"/>
        </w:rPr>
        <w:t>、</w:t>
      </w:r>
      <w:r>
        <w:rPr>
          <w:rFonts w:hint="eastAsia" w:ascii="黑体" w:hAnsi="黑体" w:eastAsia="黑体" w:cs="黑体"/>
          <w:sz w:val="36"/>
          <w:szCs w:val="36"/>
        </w:rPr>
        <w:t>联合</w:t>
      </w:r>
      <w:r>
        <w:rPr>
          <w:rFonts w:ascii="黑体" w:hAnsi="黑体" w:eastAsia="黑体" w:cs="黑体"/>
          <w:sz w:val="36"/>
          <w:szCs w:val="36"/>
        </w:rPr>
        <w:t>发布项目指南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天府文化历史内涵、源流研究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2.发展天府文化与构建社会主义核心价值体系关系研究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儒、释、道与天府文化建构研究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天府文化名人、名作、重要事件研究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天府成都民间技艺、艺术、遗产的挖掘、整理与研究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天府文化资源保护与开发利用研究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基于网络新媒体的天府文化传播研究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天府文化与“一带一路”战略关系研究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发展天府文化与打造国家中心城市（世界文化名城）关系研究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0.</w:t>
      </w:r>
      <w:r>
        <w:rPr>
          <w:rFonts w:hint="eastAsia" w:ascii="仿宋" w:hAnsi="仿宋" w:eastAsia="仿宋" w:cs="仿宋"/>
          <w:sz w:val="32"/>
          <w:szCs w:val="32"/>
        </w:rPr>
        <w:t>天府文化创意产品开发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00016" w:usb3="00000000" w:csb0="0014000F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Arial Unicode MS"/>
    <w:panose1 w:val="00000000000000000000"/>
    <w:charset w:val="88"/>
    <w:family w:val="auto"/>
    <w:pitch w:val="default"/>
    <w:sig w:usb0="00000000" w:usb1="00000000" w:usb2="00000016" w:usb3="00000000" w:csb0="001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9 -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5BAA2"/>
    <w:multiLevelType w:val="singleLevel"/>
    <w:tmpl w:val="5A45BAA2"/>
    <w:lvl w:ilvl="0" w:tentative="0">
      <w:start w:val="1"/>
      <w:numFmt w:val="decimal"/>
      <w:lvlText w:val="%1."/>
      <w:lvlJc w:val="left"/>
      <w:pPr>
        <w:ind w:left="425" w:hanging="425"/>
      </w:pPr>
    </w:lvl>
  </w:abstractNum>
  <w:abstractNum w:abstractNumId="1">
    <w:nsid w:val="5A702890"/>
    <w:multiLevelType w:val="singleLevel"/>
    <w:tmpl w:val="5A7028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82"/>
    <w:rsid w:val="00190882"/>
    <w:rsid w:val="00434EDA"/>
    <w:rsid w:val="006B0F9D"/>
    <w:rsid w:val="00AB30E0"/>
    <w:rsid w:val="00CE0FAA"/>
    <w:rsid w:val="03E12D2B"/>
    <w:rsid w:val="12C26B58"/>
    <w:rsid w:val="151608DA"/>
    <w:rsid w:val="168C7ACB"/>
    <w:rsid w:val="50E7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464</Words>
  <Characters>2651</Characters>
  <Lines>22</Lines>
  <Paragraphs>6</Paragraphs>
  <ScaleCrop>false</ScaleCrop>
  <LinksUpToDate>false</LinksUpToDate>
  <CharactersWithSpaces>3109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2018-03-13T06:56:00Z</dcterms:created>
  <dc:creator>zhongshen</dc:creator>
  <cp:lastModifiedBy>陈姑娘</cp:lastModifiedBy>
  <dcterms:modified xsi:type="dcterms:W3CDTF">2018-03-14T06:56:45Z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